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50E" w:rsidRPr="00F3150E" w:rsidRDefault="00F3150E" w:rsidP="00F3150E">
      <w:r w:rsidRPr="00F3150E">
        <w:t>1. Disciplina Generale delle Società</w:t>
      </w:r>
      <w:bookmarkStart w:id="0" w:name="_GoBack"/>
      <w:bookmarkEnd w:id="0"/>
      <w:r w:rsidRPr="00F3150E">
        <w:t xml:space="preserve"> Partecipate e In-House Providing</w:t>
      </w:r>
    </w:p>
    <w:p w:rsidR="00F3150E" w:rsidRPr="00F3150E" w:rsidRDefault="00F3150E" w:rsidP="00F3150E">
      <w:r w:rsidRPr="00F3150E">
        <w:t>Testo Unico in materia di società a partecipazione pubblica (TUSP)</w:t>
      </w:r>
    </w:p>
    <w:p w:rsidR="00F3150E" w:rsidRPr="00F3150E" w:rsidRDefault="00F3150E" w:rsidP="00F3150E">
      <w:r w:rsidRPr="00F3150E">
        <w:t xml:space="preserve">Norma: </w:t>
      </w:r>
      <w:hyperlink r:id="rId5" w:tgtFrame="_blank" w:history="1">
        <w:r w:rsidRPr="00F3150E">
          <w:rPr>
            <w:rStyle w:val="Collegamentoipertestuale"/>
          </w:rPr>
          <w:t>Decreto Legislativo 19 agosto 2016, n. 175</w:t>
        </w:r>
      </w:hyperlink>
    </w:p>
    <w:p w:rsidR="00F3150E" w:rsidRPr="00F3150E" w:rsidRDefault="00F3150E" w:rsidP="00F3150E">
      <w:r w:rsidRPr="00F3150E">
        <w:t>Ambito di applicazione: È la normativa fondamentale per l'organizzazione e il funzionamento della società.</w:t>
      </w:r>
    </w:p>
    <w:p w:rsidR="00F3150E" w:rsidRPr="00F3150E" w:rsidRDefault="00F3150E" w:rsidP="00F3150E">
      <w:r w:rsidRPr="00F3150E">
        <w:t>Art. 4: Oggetto sociale e attività ammesse.</w:t>
      </w:r>
    </w:p>
    <w:p w:rsidR="00F3150E" w:rsidRPr="00F3150E" w:rsidRDefault="00F3150E" w:rsidP="00F3150E">
      <w:r w:rsidRPr="00F3150E">
        <w:t>Art. 11: Organi amministrativi e di controllo delle società a controllo pubblico.</w:t>
      </w:r>
    </w:p>
    <w:p w:rsidR="00F3150E" w:rsidRPr="00F3150E" w:rsidRDefault="00F3150E" w:rsidP="00F3150E">
      <w:r w:rsidRPr="00F3150E">
        <w:t>Art. 16: Disciplina specifica delle società in house (requisiti di controllo analogo, vincoli sul fatturato con l'ente socio, esclusività dell'oggetto sociale).</w:t>
      </w:r>
    </w:p>
    <w:p w:rsidR="00F3150E" w:rsidRPr="00F3150E" w:rsidRDefault="00F3150E" w:rsidP="00F3150E">
      <w:r w:rsidRPr="00F3150E">
        <w:t>Art. 20: Obblighi di razionalizzazione periodica delle partecipazioni da parte della Provincia.</w:t>
      </w:r>
    </w:p>
    <w:p w:rsidR="00F3150E" w:rsidRPr="00F3150E" w:rsidRDefault="00F3150E" w:rsidP="00F3150E">
      <w:r w:rsidRPr="00F3150E">
        <w:t>Testo Unico delle leggi sull'ordinamento degli enti locali (TUEL)</w:t>
      </w:r>
    </w:p>
    <w:p w:rsidR="00F3150E" w:rsidRPr="00F3150E" w:rsidRDefault="00F3150E" w:rsidP="00F3150E">
      <w:r w:rsidRPr="00F3150E">
        <w:t xml:space="preserve">Norma: </w:t>
      </w:r>
      <w:hyperlink r:id="rId6" w:tgtFrame="_blank" w:history="1">
        <w:r w:rsidRPr="00F3150E">
          <w:rPr>
            <w:rStyle w:val="Collegamentoipertestuale"/>
          </w:rPr>
          <w:t>Decreto Legislativo 18 agosto 2000, n. 267</w:t>
        </w:r>
      </w:hyperlink>
    </w:p>
    <w:p w:rsidR="00F3150E" w:rsidRPr="00F3150E" w:rsidRDefault="00F3150E" w:rsidP="00F3150E">
      <w:r w:rsidRPr="00F3150E">
        <w:t>Ambito di applicazione: Regola la competenza e il ruolo dell'ente locale socio (Provincia di Oristano) nella costituzione, indirizzo e controllo delle società partecipate (in particolare l'art. 42, comma 2, lett. e).</w:t>
      </w:r>
    </w:p>
    <w:p w:rsidR="00F3150E" w:rsidRPr="00F3150E" w:rsidRDefault="00F3150E" w:rsidP="00F3150E">
      <w:r w:rsidRPr="00F3150E">
        <w:t>2. Forma Giuridica e Diritto Societario Generale</w:t>
      </w:r>
    </w:p>
    <w:p w:rsidR="00F3150E" w:rsidRPr="00F3150E" w:rsidRDefault="00F3150E" w:rsidP="00F3150E">
      <w:r w:rsidRPr="00F3150E">
        <w:t>Codice Civile</w:t>
      </w:r>
    </w:p>
    <w:p w:rsidR="00F3150E" w:rsidRPr="00F3150E" w:rsidRDefault="00F3150E" w:rsidP="00F3150E">
      <w:r w:rsidRPr="00F3150E">
        <w:t xml:space="preserve">Norma: </w:t>
      </w:r>
      <w:hyperlink r:id="rId7" w:tgtFrame="_blank" w:history="1">
        <w:r w:rsidRPr="00F3150E">
          <w:rPr>
            <w:rStyle w:val="Collegamentoipertestuale"/>
          </w:rPr>
          <w:t>Regio Decreto 16 marzo 1942, n. 262</w:t>
        </w:r>
      </w:hyperlink>
    </w:p>
    <w:p w:rsidR="00F3150E" w:rsidRPr="00F3150E" w:rsidRDefault="00F3150E" w:rsidP="00F3150E">
      <w:r w:rsidRPr="00F3150E">
        <w:t xml:space="preserve">Ambito di applicazione: Per quanto non previsto o derogato dal </w:t>
      </w:r>
      <w:proofErr w:type="spellStart"/>
      <w:r w:rsidRPr="00F3150E">
        <w:t>D.Lgs.</w:t>
      </w:r>
      <w:proofErr w:type="spellEnd"/>
      <w:r w:rsidRPr="00F3150E">
        <w:t xml:space="preserve"> 175/2016, l'organizzazione societaria della Servizi Provincia Oristano S.r.l. è disciplinata dal Codice Civile (in particolare dal Libro V, Titolo V, Capo VII - artt. 2462 e ss. in materia di Società a Responsabilità Limitata).</w:t>
      </w:r>
    </w:p>
    <w:p w:rsidR="00F3150E" w:rsidRPr="00F3150E" w:rsidRDefault="00F3150E" w:rsidP="00F3150E">
      <w:r w:rsidRPr="00F3150E">
        <w:t>3. Contratti Pubblici e Affidamenti In-House</w:t>
      </w:r>
    </w:p>
    <w:p w:rsidR="00F3150E" w:rsidRPr="00F3150E" w:rsidRDefault="00F3150E" w:rsidP="00F3150E">
      <w:r w:rsidRPr="00F3150E">
        <w:t>Codice dei Contratti Pubblici</w:t>
      </w:r>
    </w:p>
    <w:p w:rsidR="00F3150E" w:rsidRPr="00F3150E" w:rsidRDefault="00F3150E" w:rsidP="00F3150E">
      <w:r w:rsidRPr="00F3150E">
        <w:t xml:space="preserve">Norma: </w:t>
      </w:r>
      <w:hyperlink r:id="rId8" w:tgtFrame="_blank" w:history="1">
        <w:r w:rsidRPr="00F3150E">
          <w:rPr>
            <w:rStyle w:val="Collegamentoipertestuale"/>
          </w:rPr>
          <w:t>Decreto Legislativo 31 marzo 2023, n. 36</w:t>
        </w:r>
      </w:hyperlink>
    </w:p>
    <w:p w:rsidR="00F3150E" w:rsidRPr="00F3150E" w:rsidRDefault="00F3150E" w:rsidP="00F3150E">
      <w:r w:rsidRPr="00F3150E">
        <w:t>Ambito di applicazione: Regola le modalità di affidamento diretto dei servizi da parte della Provincia di Oristano alla società in house e le regole cui la società deve attenersi nell'acquisto di beni, servizi e lavori verso terzi.</w:t>
      </w:r>
    </w:p>
    <w:p w:rsidR="00F3150E" w:rsidRPr="00F3150E" w:rsidRDefault="00F3150E" w:rsidP="00F3150E">
      <w:r w:rsidRPr="00F3150E">
        <w:t>Art. 7: Principio di auto-organizzazione amministrativa e disciplina dell'affidamento in house.</w:t>
      </w:r>
    </w:p>
    <w:p w:rsidR="00F3150E" w:rsidRPr="00F3150E" w:rsidRDefault="00F3150E" w:rsidP="00F3150E">
      <w:r w:rsidRPr="00F3150E">
        <w:t xml:space="preserve">4. Trasparenza, Anticorruzione e </w:t>
      </w:r>
      <w:proofErr w:type="spellStart"/>
      <w:r w:rsidRPr="00F3150E">
        <w:t>Inconferibilità</w:t>
      </w:r>
      <w:proofErr w:type="spellEnd"/>
      <w:r w:rsidRPr="00F3150E">
        <w:t xml:space="preserve"> degli Incarichi</w:t>
      </w:r>
    </w:p>
    <w:p w:rsidR="00F3150E" w:rsidRPr="00F3150E" w:rsidRDefault="00F3150E" w:rsidP="00F3150E">
      <w:r w:rsidRPr="00F3150E">
        <w:t>Riordino della disciplina riguardante il diritto di accesso civico e gli obblighi di pubblicità e trasparenza</w:t>
      </w:r>
    </w:p>
    <w:p w:rsidR="00F3150E" w:rsidRPr="00F3150E" w:rsidRDefault="00F3150E" w:rsidP="00F3150E">
      <w:r w:rsidRPr="00F3150E">
        <w:t xml:space="preserve">Norma: </w:t>
      </w:r>
      <w:hyperlink r:id="rId9" w:tgtFrame="_blank" w:history="1">
        <w:r w:rsidRPr="00F3150E">
          <w:rPr>
            <w:rStyle w:val="Collegamentoipertestuale"/>
          </w:rPr>
          <w:t>Decreto Legislativo 14 marzo 2013, n. 33</w:t>
        </w:r>
      </w:hyperlink>
    </w:p>
    <w:p w:rsidR="00F3150E" w:rsidRPr="00F3150E" w:rsidRDefault="00F3150E" w:rsidP="00F3150E">
      <w:r w:rsidRPr="00F3150E">
        <w:lastRenderedPageBreak/>
        <w:t>Ambito di applicazione: Gli obblighi di trasparenza pubblicistica si applicano alle società in controllo pubblico (in particolare art. 2-bis, comma 2, lett. b e art. 22), imponendo la pubblicazione di dati, bilanci e contratti nella sezione "Società Trasparente".</w:t>
      </w:r>
    </w:p>
    <w:p w:rsidR="00F3150E" w:rsidRPr="00F3150E" w:rsidRDefault="00F3150E" w:rsidP="00F3150E">
      <w:r w:rsidRPr="00F3150E">
        <w:t>Disposizioni per la prevenzione e la repressione della corruzione</w:t>
      </w:r>
    </w:p>
    <w:p w:rsidR="00F3150E" w:rsidRPr="00F3150E" w:rsidRDefault="00F3150E" w:rsidP="00F3150E">
      <w:r w:rsidRPr="00F3150E">
        <w:t xml:space="preserve">Norma: </w:t>
      </w:r>
      <w:hyperlink r:id="rId10" w:tgtFrame="_blank" w:history="1">
        <w:r w:rsidRPr="00F3150E">
          <w:rPr>
            <w:rStyle w:val="Collegamentoipertestuale"/>
          </w:rPr>
          <w:t>Legge 6 novembre 2012, n. 190</w:t>
        </w:r>
      </w:hyperlink>
    </w:p>
    <w:p w:rsidR="00F3150E" w:rsidRPr="00F3150E" w:rsidRDefault="00F3150E" w:rsidP="00F3150E">
      <w:r w:rsidRPr="00F3150E">
        <w:t>Ambito di applicazione: Definizione e adozione delle misure di prevenzione della corruzione nelle società controllate dalle pubbliche amministrazioni.</w:t>
      </w:r>
    </w:p>
    <w:p w:rsidR="00F3150E" w:rsidRPr="00F3150E" w:rsidRDefault="00F3150E" w:rsidP="00F3150E">
      <w:proofErr w:type="spellStart"/>
      <w:r w:rsidRPr="00F3150E">
        <w:t>Inconferibilità</w:t>
      </w:r>
      <w:proofErr w:type="spellEnd"/>
      <w:r w:rsidRPr="00F3150E">
        <w:t xml:space="preserve"> e incompatibilità degli incarichi</w:t>
      </w:r>
    </w:p>
    <w:p w:rsidR="00F3150E" w:rsidRPr="00F3150E" w:rsidRDefault="00F3150E" w:rsidP="00F3150E">
      <w:r w:rsidRPr="00F3150E">
        <w:t xml:space="preserve">Norma: </w:t>
      </w:r>
      <w:hyperlink r:id="rId11" w:tgtFrame="_blank" w:history="1">
        <w:r w:rsidRPr="00F3150E">
          <w:rPr>
            <w:rStyle w:val="Collegamentoipertestuale"/>
          </w:rPr>
          <w:t>Decreto Legislativo 8 aprile 2013, n. 39</w:t>
        </w:r>
      </w:hyperlink>
    </w:p>
    <w:p w:rsidR="00F3150E" w:rsidRPr="00F3150E" w:rsidRDefault="00F3150E" w:rsidP="00F3150E">
      <w:r w:rsidRPr="00F3150E">
        <w:t>Ambito di applicazione: Disciplina i requisiti e i limiti per il conferimento degli incarichi di Amministratore Unico e di posizioni dirigenziali all'interno della società.</w:t>
      </w:r>
    </w:p>
    <w:p w:rsidR="00F3150E" w:rsidRPr="00F3150E" w:rsidRDefault="00F3150E" w:rsidP="00F3150E">
      <w:r w:rsidRPr="00F3150E">
        <w:t>5. Pianificazione Strategica, Organizzazione e Responsabilità</w:t>
      </w:r>
    </w:p>
    <w:p w:rsidR="00F3150E" w:rsidRPr="00F3150E" w:rsidRDefault="00F3150E" w:rsidP="00F3150E">
      <w:r w:rsidRPr="00F3150E">
        <w:t>Piano Integrato di Attività e Organizzazione (PIAO)</w:t>
      </w:r>
    </w:p>
    <w:p w:rsidR="00F3150E" w:rsidRPr="00F3150E" w:rsidRDefault="00F3150E" w:rsidP="00F3150E">
      <w:r w:rsidRPr="00F3150E">
        <w:t>Norme di riferimento:</w:t>
      </w:r>
    </w:p>
    <w:p w:rsidR="00F3150E" w:rsidRPr="00F3150E" w:rsidRDefault="00F3150E" w:rsidP="00F3150E">
      <w:hyperlink r:id="rId12" w:tgtFrame="_blank" w:history="1">
        <w:r w:rsidRPr="00F3150E">
          <w:rPr>
            <w:rStyle w:val="Collegamentoipertestuale"/>
          </w:rPr>
          <w:t>Decreto-Legge 9 giugno 2021, n. 80</w:t>
        </w:r>
      </w:hyperlink>
      <w:r w:rsidRPr="00F3150E">
        <w:t xml:space="preserve"> (art. 6)</w:t>
      </w:r>
    </w:p>
    <w:p w:rsidR="00F3150E" w:rsidRPr="00F3150E" w:rsidRDefault="00F3150E" w:rsidP="00F3150E">
      <w:hyperlink r:id="rId13" w:tgtFrame="_blank" w:history="1">
        <w:r w:rsidRPr="00F3150E">
          <w:rPr>
            <w:rStyle w:val="Collegamentoipertestuale"/>
          </w:rPr>
          <w:t>Legge 6 agosto 2021, n. 113</w:t>
        </w:r>
      </w:hyperlink>
      <w:r w:rsidRPr="00F3150E">
        <w:t xml:space="preserve"> (legge di conversione)</w:t>
      </w:r>
    </w:p>
    <w:p w:rsidR="00F3150E" w:rsidRPr="00F3150E" w:rsidRDefault="00F3150E" w:rsidP="00F3150E">
      <w:r w:rsidRPr="00F3150E">
        <w:t>Ambito di applicazione: Quadro di riferimento normativo recepito negli atti di pianificazione organizzativa e della performance della società.</w:t>
      </w:r>
    </w:p>
    <w:p w:rsidR="00F3150E" w:rsidRPr="00F3150E" w:rsidRDefault="00F3150E" w:rsidP="00F3150E">
      <w:r w:rsidRPr="00F3150E">
        <w:t>Responsabilità Amministrativa degli Enti</w:t>
      </w:r>
    </w:p>
    <w:p w:rsidR="00F3150E" w:rsidRPr="00F3150E" w:rsidRDefault="00F3150E" w:rsidP="00F3150E">
      <w:r w:rsidRPr="00F3150E">
        <w:t xml:space="preserve">Norma: </w:t>
      </w:r>
      <w:hyperlink r:id="rId14" w:tgtFrame="_blank" w:history="1">
        <w:r w:rsidRPr="00F3150E">
          <w:rPr>
            <w:rStyle w:val="Collegamentoipertestuale"/>
          </w:rPr>
          <w:t>Decreto Legislativo 8 giugno 2001, n. 231</w:t>
        </w:r>
      </w:hyperlink>
    </w:p>
    <w:p w:rsidR="00F3150E" w:rsidRPr="00F3150E" w:rsidRDefault="00F3150E" w:rsidP="00F3150E">
      <w:r w:rsidRPr="00F3150E">
        <w:t>Ambito di applicazione: Regola la responsabilità amministrativa della persona giuridica per i reati commessi a suo interesse o vantaggio e fonda la predisposizione del Modello di Organizzazione, Gestione e Controllo (MOG 231).</w:t>
      </w:r>
    </w:p>
    <w:p w:rsidR="000B3E14" w:rsidRDefault="000B3E14"/>
    <w:sectPr w:rsidR="000B3E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0386"/>
    <w:multiLevelType w:val="multilevel"/>
    <w:tmpl w:val="93BE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40DEF"/>
    <w:multiLevelType w:val="multilevel"/>
    <w:tmpl w:val="7876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8516A7"/>
    <w:multiLevelType w:val="multilevel"/>
    <w:tmpl w:val="5CC8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B63C6E"/>
    <w:multiLevelType w:val="multilevel"/>
    <w:tmpl w:val="3436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54105"/>
    <w:multiLevelType w:val="multilevel"/>
    <w:tmpl w:val="574E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C22200"/>
    <w:multiLevelType w:val="multilevel"/>
    <w:tmpl w:val="4910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EE19F6"/>
    <w:multiLevelType w:val="multilevel"/>
    <w:tmpl w:val="61E4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676AB6"/>
    <w:multiLevelType w:val="multilevel"/>
    <w:tmpl w:val="1666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935D6C"/>
    <w:multiLevelType w:val="multilevel"/>
    <w:tmpl w:val="7CF0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3150E"/>
    <w:rsid w:val="000B3E14"/>
    <w:rsid w:val="00806B1A"/>
    <w:rsid w:val="00E42CB1"/>
    <w:rsid w:val="00E436C9"/>
    <w:rsid w:val="00F3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10BF8-C2BB-4FDF-AB4A-E6A7AAD0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F315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F315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3150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3150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31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315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2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mattiva.it/uri-res/N2Ls?urn:nir:stato:decreto.legislativo:2023-03-31;36" TargetMode="External"/><Relationship Id="rId13" Type="http://schemas.openxmlformats.org/officeDocument/2006/relationships/hyperlink" Target="https://www.normattiva.it/uri-res/N2Ls?urn:nir:stato:legge:2021-08-06;1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ormattiva.it/uri-res/N2Ls?urn:nir:stato:regio.decreto:1942-03-16;262" TargetMode="External"/><Relationship Id="rId12" Type="http://schemas.openxmlformats.org/officeDocument/2006/relationships/hyperlink" Target="https://www.google.com/search?q=https://www.normattiva.it/uri-res/N2Ls%3Furn:nir:stato:decreto.legge:2021-06-09%3B80&amp;authuser=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normattiva.it/uri-res/N2Ls?urn:nir:stato:decreto.legislativo:2000-08-18;267" TargetMode="External"/><Relationship Id="rId11" Type="http://schemas.openxmlformats.org/officeDocument/2006/relationships/hyperlink" Target="https://www.normattiva.it/uri-res/N2Ls?urn:nir:stato:decreto.legislativo:2013-04-08;39" TargetMode="External"/><Relationship Id="rId5" Type="http://schemas.openxmlformats.org/officeDocument/2006/relationships/hyperlink" Target="https://www.normattiva.it/uri-res/N2Ls?urn:nir:stato:decreto.legislativo:2016-08-19;17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normattiva.it/uri-res/N2Ls?urn:nir:stato:legge:2012-11-06;1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ormattiva.it/uri-res/N2Ls?urn:nir:stato:decreto.legislativo:2013-03-14;33" TargetMode="External"/><Relationship Id="rId14" Type="http://schemas.openxmlformats.org/officeDocument/2006/relationships/hyperlink" Target="https://www.normattiva.it/uri-res/N2Ls?urn:nir:stato:decreto.legislativo:2001-06-08;23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Soru</dc:creator>
  <cp:keywords/>
  <dc:description/>
  <cp:lastModifiedBy>Luca Soru</cp:lastModifiedBy>
  <cp:revision>1</cp:revision>
  <dcterms:created xsi:type="dcterms:W3CDTF">2026-08-02T12:56:00Z</dcterms:created>
  <dcterms:modified xsi:type="dcterms:W3CDTF">2026-08-02T12:57:00Z</dcterms:modified>
</cp:coreProperties>
</file>